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ra" w:cs="Lora" w:eastAsia="Lora" w:hAnsi="Lora"/>
          <w:b w:val="1"/>
          <w:color w:val="0056d6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color w:val="0056d6"/>
          <w:sz w:val="30"/>
          <w:szCs w:val="30"/>
          <w:rtl w:val="0"/>
        </w:rPr>
        <w:t xml:space="preserve">30/60/90 day internal comms plan checklist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color w:val="0056d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Here are our recommendations for a thorough 30-60-90 day plan in a new internal communications role. You can obviously use this for your first 90 days in a new job, but it’s also an amazing thing to bring to interviews and/or a really good option for a hard reset!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Remember: your first 90 days are your first impressions. It’s an opportunity you may not get again, and it’s often a rare moment where you can be a bit high level before you have to dive into the day-to-day work. Use this chance wisely and structure your first few months for success!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color w:val="0056d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ora" w:cs="Lora" w:eastAsia="Lora" w:hAnsi="Lora"/>
          <w:b w:val="1"/>
          <w:color w:val="0056d6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color w:val="0056d6"/>
          <w:sz w:val="30"/>
          <w:szCs w:val="30"/>
          <w:rtl w:val="0"/>
        </w:rPr>
        <w:t xml:space="preserve">The first 30 days: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Share your 30/60/90 day plan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Understand the company’s current goals, priorities, and values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Run an internal communications survey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</w:t>
      </w:r>
      <w:hyperlink r:id="rId6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We have an internal communications template you can download here!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Start a listening tour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Review the current toolset and processes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Identify little wins 🏆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Notes during the first 30 days:</w:t>
            </w:r>
          </w:p>
        </w:tc>
      </w:tr>
      <w:tr>
        <w:trPr>
          <w:cantSplit w:val="0"/>
          <w:trHeight w:val="3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color w:val="0056d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ora" w:cs="Lora" w:eastAsia="Lora" w:hAnsi="Lora"/>
          <w:b w:val="1"/>
          <w:color w:val="0056d6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color w:val="0056d6"/>
          <w:sz w:val="30"/>
          <w:szCs w:val="30"/>
          <w:rtl w:val="0"/>
        </w:rPr>
        <w:t xml:space="preserve">The first 60 days: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Complete an internal communications audit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</w:t>
      </w:r>
      <w:hyperlink r:id="rId7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Here’s a guide on how to run an internal communications audit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Determine key metrics &amp; set benchmarks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Create an editorial calendar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</w:t>
      </w:r>
      <w:hyperlink r:id="rId8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We have an internal comms editorial calendar template you can download here!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Set up monthly touchpoints with key stakeholders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Achieve and showcase those little wins 🏆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Notes during the first 60 days:</w:t>
            </w:r>
          </w:p>
        </w:tc>
      </w:tr>
      <w:tr>
        <w:trPr>
          <w:cantSplit w:val="0"/>
          <w:trHeight w:val="4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0056d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ora" w:cs="Lora" w:eastAsia="Lora" w:hAnsi="Lora"/>
          <w:b w:val="1"/>
          <w:color w:val="0056d6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color w:val="0056d6"/>
          <w:sz w:val="30"/>
          <w:szCs w:val="30"/>
          <w:rtl w:val="0"/>
        </w:rPr>
        <w:t xml:space="preserve">The first 90 days: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Document your internal communications strategy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Publish a monthly report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</w:t>
      </w:r>
      <w:hyperlink r:id="rId9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We have a monthly internal comms report you can download here!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Evaluate new tools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</w:t>
      </w:r>
      <w:hyperlink r:id="rId10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We did a deep dive into the only 4 internal comms tools you need here!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Advocate for resources (budget, team, etc.)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Launch or revamp a few core internal communication campaigns</w:t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Notes during the first 90 days:</w:t>
            </w:r>
          </w:p>
        </w:tc>
      </w:tr>
      <w:tr>
        <w:trPr>
          <w:cantSplit w:val="0"/>
          <w:trHeight w:val="3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64597" cy="25586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597" cy="255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useworkshop.com/blog/the-only-4-internal-communications-tools/" TargetMode="External"/><Relationship Id="rId9" Type="http://schemas.openxmlformats.org/officeDocument/2006/relationships/hyperlink" Target="https://useworkshop.com/resources/monthly-internal-comms-repo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useworkshop.com/resources/internal-comms-survey-template/" TargetMode="External"/><Relationship Id="rId7" Type="http://schemas.openxmlformats.org/officeDocument/2006/relationships/hyperlink" Target="https://useworkshop.com/resources/how-to-run-an-internal-communications-audit/" TargetMode="External"/><Relationship Id="rId8" Type="http://schemas.openxmlformats.org/officeDocument/2006/relationships/hyperlink" Target="https://useworkshop.com/resources/internal-comms-editorial-calendar-templat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